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A8B9A" w14:textId="77777777" w:rsidR="0014731D" w:rsidRDefault="0014731D" w:rsidP="00404061"/>
    <w:p w14:paraId="2580A2CF" w14:textId="77777777" w:rsidR="0014731D" w:rsidRDefault="0014731D" w:rsidP="00404061"/>
    <w:p w14:paraId="40FFD0DA" w14:textId="77777777" w:rsidR="0014731D" w:rsidRDefault="0014731D" w:rsidP="00404061"/>
    <w:p w14:paraId="53A59616" w14:textId="77777777" w:rsidR="0014731D" w:rsidRDefault="0014731D" w:rsidP="00404061"/>
    <w:p w14:paraId="2B549F0C" w14:textId="77777777" w:rsidR="0014731D" w:rsidRDefault="0014731D" w:rsidP="00404061"/>
    <w:p w14:paraId="36CE3587" w14:textId="77777777" w:rsidR="0014731D" w:rsidRDefault="0014731D" w:rsidP="00404061"/>
    <w:p w14:paraId="2BF4D626" w14:textId="77777777" w:rsidR="0014731D" w:rsidRDefault="0014731D" w:rsidP="00404061"/>
    <w:p w14:paraId="20EEEE6B" w14:textId="77777777" w:rsidR="0014731D" w:rsidRDefault="0014731D" w:rsidP="00404061"/>
    <w:p w14:paraId="0CB2C725" w14:textId="77777777" w:rsidR="0014731D" w:rsidRDefault="0014731D" w:rsidP="00404061"/>
    <w:p w14:paraId="141A1060" w14:textId="77777777" w:rsidR="0014731D" w:rsidRDefault="0014731D" w:rsidP="00404061"/>
    <w:p w14:paraId="6F08E18A" w14:textId="77777777" w:rsidR="0014731D" w:rsidRDefault="0014731D" w:rsidP="00404061"/>
    <w:p w14:paraId="0D238353" w14:textId="77777777" w:rsidR="0014731D" w:rsidRDefault="0014731D" w:rsidP="00404061"/>
    <w:p w14:paraId="76DD43F4" w14:textId="77777777" w:rsidR="0014731D" w:rsidRDefault="0014731D" w:rsidP="00404061"/>
    <w:p w14:paraId="0420AB63" w14:textId="77777777" w:rsidR="0014731D" w:rsidRDefault="0014731D" w:rsidP="00404061"/>
    <w:p w14:paraId="7C25DF8A" w14:textId="77777777" w:rsidR="0014731D" w:rsidRDefault="0014731D" w:rsidP="00404061"/>
    <w:p w14:paraId="42DFEC26" w14:textId="77777777" w:rsidR="0014731D" w:rsidRDefault="0014731D" w:rsidP="00404061"/>
    <w:p w14:paraId="19A72A12" w14:textId="77777777" w:rsidR="0014731D" w:rsidRDefault="0014731D" w:rsidP="00404061"/>
    <w:p w14:paraId="204FED7E" w14:textId="77777777" w:rsidR="0014731D" w:rsidRDefault="0014731D" w:rsidP="00404061"/>
    <w:p w14:paraId="5D97CEAF" w14:textId="77777777" w:rsidR="0014731D" w:rsidRDefault="0014731D" w:rsidP="00404061"/>
    <w:p w14:paraId="0A6054B0" w14:textId="77777777" w:rsidR="00F822FF" w:rsidRDefault="00F822FF" w:rsidP="00404061"/>
    <w:p w14:paraId="73856D82" w14:textId="77777777" w:rsidR="00F822FF" w:rsidRDefault="00F822FF" w:rsidP="00404061"/>
    <w:p w14:paraId="05F17E7C" w14:textId="77777777" w:rsidR="0014731D" w:rsidRDefault="0014731D" w:rsidP="00404061"/>
    <w:p w14:paraId="1311C25C" w14:textId="77777777" w:rsidR="0014731D" w:rsidRDefault="0014731D" w:rsidP="00404061"/>
    <w:tbl>
      <w:tblPr>
        <w:tblW w:w="97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6"/>
        <w:gridCol w:w="154"/>
        <w:gridCol w:w="1959"/>
        <w:gridCol w:w="1130"/>
        <w:gridCol w:w="1468"/>
        <w:gridCol w:w="1371"/>
        <w:gridCol w:w="1134"/>
        <w:gridCol w:w="1063"/>
      </w:tblGrid>
      <w:tr w:rsidR="00F822FF" w:rsidRPr="00F822FF" w14:paraId="4DF48473" w14:textId="77777777" w:rsidTr="00F822FF">
        <w:trPr>
          <w:trHeight w:val="529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D0706EE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Projektant: </w:t>
            </w:r>
          </w:p>
        </w:tc>
        <w:tc>
          <w:tcPr>
            <w:tcW w:w="32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A19861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Ing. Věroslav Vopat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7265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Vedoucí zakázky: 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BB44629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Ing. Jan Dušek</w:t>
            </w:r>
          </w:p>
        </w:tc>
      </w:tr>
      <w:tr w:rsidR="00F822FF" w:rsidRPr="00F822FF" w14:paraId="7E1118F1" w14:textId="77777777" w:rsidTr="00F822FF">
        <w:trPr>
          <w:trHeight w:val="300"/>
        </w:trPr>
        <w:tc>
          <w:tcPr>
            <w:tcW w:w="15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14:paraId="388A0113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FFFFFF"/>
                <w:kern w:val="0"/>
                <w:sz w:val="72"/>
                <w:szCs w:val="72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FFFFFF"/>
                <w:kern w:val="0"/>
                <w:sz w:val="72"/>
                <w:szCs w:val="72"/>
                <w:lang w:eastAsia="cs-CZ"/>
                <w14:ligatures w14:val="none"/>
              </w:rPr>
              <w:t>DPT</w:t>
            </w:r>
          </w:p>
        </w:tc>
        <w:tc>
          <w:tcPr>
            <w:tcW w:w="1959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15812D1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Objednatel: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69865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Město Mariánské Lázně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12493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Zakázka č.: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4D2A0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2025/39</w:t>
            </w:r>
          </w:p>
        </w:tc>
      </w:tr>
      <w:tr w:rsidR="00F822FF" w:rsidRPr="00F822FF" w14:paraId="1CA98298" w14:textId="77777777" w:rsidTr="00F822FF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0F6C711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kern w:val="0"/>
                <w:sz w:val="72"/>
                <w:szCs w:val="72"/>
                <w:lang w:eastAsia="cs-CZ"/>
                <w14:ligatures w14:val="none"/>
              </w:rPr>
            </w:pPr>
          </w:p>
        </w:tc>
        <w:tc>
          <w:tcPr>
            <w:tcW w:w="1959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FB835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AABCA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D1265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Stupeň: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74E09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DSP</w:t>
            </w:r>
          </w:p>
        </w:tc>
      </w:tr>
      <w:tr w:rsidR="00F822FF" w:rsidRPr="00F822FF" w14:paraId="6F46DE8A" w14:textId="77777777" w:rsidTr="00F822FF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E03B419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kern w:val="0"/>
                <w:sz w:val="72"/>
                <w:szCs w:val="72"/>
                <w:lang w:eastAsia="cs-CZ"/>
                <w14:ligatures w14:val="none"/>
              </w:rPr>
            </w:pPr>
          </w:p>
        </w:tc>
        <w:tc>
          <w:tcPr>
            <w:tcW w:w="1959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F20E35E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Zakázka: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F8783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Chodník Skláře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E5174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Datum: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7B712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31.08.2025</w:t>
            </w:r>
          </w:p>
        </w:tc>
      </w:tr>
      <w:tr w:rsidR="00F822FF" w:rsidRPr="00F822FF" w14:paraId="609A53E8" w14:textId="77777777" w:rsidTr="00F822FF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CD44C65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kern w:val="0"/>
                <w:sz w:val="72"/>
                <w:szCs w:val="72"/>
                <w:lang w:eastAsia="cs-CZ"/>
                <w14:ligatures w14:val="none"/>
              </w:rPr>
            </w:pPr>
          </w:p>
        </w:tc>
        <w:tc>
          <w:tcPr>
            <w:tcW w:w="1959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386B3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349DC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545AE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 xml:space="preserve">Měřítko: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EE600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F822FF" w:rsidRPr="00F822FF" w14:paraId="72693327" w14:textId="77777777" w:rsidTr="00F822FF">
        <w:trPr>
          <w:trHeight w:val="300"/>
        </w:trPr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E1F2"/>
            <w:noWrap/>
            <w:vAlign w:val="center"/>
            <w:hideMark/>
          </w:tcPr>
          <w:p w14:paraId="1B91D72E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kern w:val="0"/>
                <w:sz w:val="36"/>
                <w:szCs w:val="3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36"/>
                <w:szCs w:val="36"/>
                <w:lang w:eastAsia="cs-CZ"/>
                <w14:ligatures w14:val="none"/>
              </w:rPr>
              <w:t>projekty</w:t>
            </w:r>
          </w:p>
        </w:tc>
        <w:tc>
          <w:tcPr>
            <w:tcW w:w="1959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4F8C8C4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Dokumentace/část: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AE4DE" w14:textId="745CB921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Dokumentace pro provádění stavby       </w:t>
            </w:r>
            <w:r>
              <w:rPr>
                <w:rFonts w:ascii="Arial CE" w:eastAsia="Times New Roman" w:hAnsi="Arial CE" w:cs="Arial CE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</w:t>
            </w:r>
            <w:r w:rsidRPr="00F822FF">
              <w:rPr>
                <w:rFonts w:ascii="Arial CE" w:eastAsia="Times New Roman" w:hAnsi="Arial CE" w:cs="Arial CE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 xml:space="preserve">       D.3 Stavební část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ACE12" w14:textId="77777777" w:rsidR="00F822FF" w:rsidRPr="00F822FF" w:rsidRDefault="00F822FF" w:rsidP="00F822F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 xml:space="preserve">Formát: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75F0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kern w:val="0"/>
                <w:sz w:val="16"/>
                <w:szCs w:val="16"/>
                <w:lang w:eastAsia="cs-CZ"/>
                <w14:ligatures w14:val="none"/>
              </w:rPr>
              <w:t>4A4</w:t>
            </w:r>
          </w:p>
        </w:tc>
      </w:tr>
      <w:tr w:rsidR="00F822FF" w:rsidRPr="00F822FF" w14:paraId="2AE0FC83" w14:textId="77777777" w:rsidTr="00F822FF">
        <w:trPr>
          <w:trHeight w:val="408"/>
        </w:trPr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8DC5D7F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kern w:val="0"/>
                <w:sz w:val="36"/>
                <w:szCs w:val="36"/>
                <w:lang w:eastAsia="cs-CZ"/>
                <w14:ligatures w14:val="none"/>
              </w:rPr>
            </w:pPr>
          </w:p>
        </w:tc>
        <w:tc>
          <w:tcPr>
            <w:tcW w:w="1959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BB491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AF9EF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634F2C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kern w:val="0"/>
                <w:sz w:val="56"/>
                <w:szCs w:val="5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kern w:val="0"/>
                <w:sz w:val="56"/>
                <w:szCs w:val="56"/>
                <w:lang w:eastAsia="cs-CZ"/>
                <w14:ligatures w14:val="none"/>
              </w:rPr>
              <w:t>1</w:t>
            </w:r>
          </w:p>
        </w:tc>
      </w:tr>
      <w:tr w:rsidR="00F822FF" w:rsidRPr="00F822FF" w14:paraId="15CFA771" w14:textId="77777777" w:rsidTr="00F822FF">
        <w:trPr>
          <w:trHeight w:val="6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409E8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608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13CB45E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F822FF"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Technická zpráva</w:t>
            </w:r>
          </w:p>
        </w:tc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03EA2" w14:textId="77777777" w:rsidR="00F822FF" w:rsidRPr="00F822FF" w:rsidRDefault="00F822FF" w:rsidP="00F822FF">
            <w:pPr>
              <w:spacing w:after="0" w:line="240" w:lineRule="auto"/>
              <w:rPr>
                <w:rFonts w:ascii="Arial CE" w:eastAsia="Times New Roman" w:hAnsi="Arial CE" w:cs="Arial CE"/>
                <w:kern w:val="0"/>
                <w:sz w:val="56"/>
                <w:szCs w:val="56"/>
                <w:lang w:eastAsia="cs-CZ"/>
                <w14:ligatures w14:val="none"/>
              </w:rPr>
            </w:pPr>
          </w:p>
        </w:tc>
      </w:tr>
      <w:tr w:rsidR="00F822FF" w:rsidRPr="00F822FF" w14:paraId="1D728D99" w14:textId="77777777" w:rsidTr="00F822FF">
        <w:trPr>
          <w:trHeight w:val="285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764AE" w14:textId="77777777" w:rsidR="00F822FF" w:rsidRPr="00F822FF" w:rsidRDefault="00F822FF" w:rsidP="00F822F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BE3DC0" w14:textId="77777777" w:rsidR="00F822FF" w:rsidRPr="00F822FF" w:rsidRDefault="00F822FF" w:rsidP="00F822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3E716" w14:textId="77777777" w:rsidR="00F822FF" w:rsidRPr="00F822FF" w:rsidRDefault="00F822FF" w:rsidP="00F822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505E5" w14:textId="77777777" w:rsidR="00F822FF" w:rsidRPr="00F822FF" w:rsidRDefault="00F822FF" w:rsidP="00F822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FDFEF" w14:textId="77777777" w:rsidR="00F822FF" w:rsidRPr="00F822FF" w:rsidRDefault="00F822FF" w:rsidP="00F822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EA112" w14:textId="77777777" w:rsidR="00F822FF" w:rsidRPr="00F822FF" w:rsidRDefault="00F822FF" w:rsidP="00F822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63A28" w14:textId="77777777" w:rsidR="00F822FF" w:rsidRPr="00F822FF" w:rsidRDefault="00F822FF" w:rsidP="00F822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71EBDF" w14:textId="77777777" w:rsidR="00F822FF" w:rsidRPr="00F822FF" w:rsidRDefault="00F822FF" w:rsidP="00F822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37A92CF9" w14:textId="77777777" w:rsidR="0014731D" w:rsidRDefault="0014731D" w:rsidP="00404061"/>
    <w:p w14:paraId="5CE85741" w14:textId="77777777" w:rsidR="0014731D" w:rsidRDefault="0014731D" w:rsidP="00404061"/>
    <w:p w14:paraId="30645DD0" w14:textId="77777777" w:rsidR="0014731D" w:rsidRDefault="0014731D" w:rsidP="00404061"/>
    <w:p w14:paraId="7D3CD7DD" w14:textId="77777777" w:rsidR="0014731D" w:rsidRDefault="0014731D" w:rsidP="00404061"/>
    <w:p w14:paraId="79B7DA78" w14:textId="77777777" w:rsidR="0014731D" w:rsidRDefault="0014731D" w:rsidP="00404061"/>
    <w:p w14:paraId="7E5486F5" w14:textId="77777777" w:rsidR="0014731D" w:rsidRDefault="0014731D" w:rsidP="00404061"/>
    <w:p w14:paraId="701D829D" w14:textId="77777777" w:rsidR="0014731D" w:rsidRDefault="0014731D" w:rsidP="00404061"/>
    <w:p w14:paraId="30ACBCF1" w14:textId="77777777" w:rsidR="0014731D" w:rsidRDefault="0014731D" w:rsidP="00404061"/>
    <w:p w14:paraId="40D05DF6" w14:textId="77777777" w:rsidR="0014731D" w:rsidRDefault="0014731D" w:rsidP="00404061"/>
    <w:p w14:paraId="76F81549" w14:textId="77777777" w:rsidR="0014731D" w:rsidRDefault="0014731D" w:rsidP="00404061"/>
    <w:p w14:paraId="4F19B4F3" w14:textId="14B17592" w:rsidR="00404061" w:rsidRDefault="00404061" w:rsidP="00404061">
      <w:r>
        <w:t>a) identifikační údaje objektu a technického a technologického zařízení</w:t>
      </w:r>
    </w:p>
    <w:p w14:paraId="513A76E6" w14:textId="6FD1EF78" w:rsidR="00404061" w:rsidRDefault="0014731D" w:rsidP="00404061">
      <w:r>
        <w:rPr>
          <w:color w:val="EE0000"/>
        </w:rPr>
        <w:t>Není předmětem projektu</w:t>
      </w:r>
    </w:p>
    <w:p w14:paraId="283F9FA7" w14:textId="12CE4095" w:rsidR="00404061" w:rsidRDefault="00404061" w:rsidP="00404061">
      <w:r>
        <w:t>b) údaje o stavbě, stavebníkovi a zpracovateli dokumentace</w:t>
      </w:r>
    </w:p>
    <w:p w14:paraId="741D6B35" w14:textId="7AB0AE9A" w:rsidR="00FF41E2" w:rsidRDefault="00FF41E2" w:rsidP="00404061">
      <w:r>
        <w:t>Stavba - Chodník Skláře</w:t>
      </w:r>
    </w:p>
    <w:p w14:paraId="68D5EB3D" w14:textId="09CE498C" w:rsidR="00FF41E2" w:rsidRDefault="00FF41E2" w:rsidP="00404061">
      <w:r>
        <w:t xml:space="preserve">Stavebník - </w:t>
      </w:r>
      <w:r w:rsidRPr="00FF41E2">
        <w:t>Město Mariánské Lázně</w:t>
      </w:r>
      <w:r>
        <w:t xml:space="preserve">  IČO </w:t>
      </w:r>
      <w:r w:rsidRPr="00FF41E2">
        <w:t>00254061</w:t>
      </w:r>
    </w:p>
    <w:p w14:paraId="6E566145" w14:textId="7ACBA535" w:rsidR="00FF41E2" w:rsidRDefault="00FF41E2" w:rsidP="00404061">
      <w:r>
        <w:t xml:space="preserve">Zpracovatel dokumentace - </w:t>
      </w:r>
      <w:r w:rsidRPr="00FF41E2">
        <w:t>DPT projekty Ostrov s r.o.</w:t>
      </w:r>
      <w:r>
        <w:t xml:space="preserve">  </w:t>
      </w:r>
      <w:r w:rsidRPr="00FF41E2">
        <w:t>IČ</w:t>
      </w:r>
      <w:r>
        <w:t>O</w:t>
      </w:r>
      <w:r w:rsidRPr="00FF41E2">
        <w:t xml:space="preserve"> 08728097</w:t>
      </w:r>
    </w:p>
    <w:p w14:paraId="2BDC8730" w14:textId="718DDFC2" w:rsidR="00404061" w:rsidRDefault="00404061" w:rsidP="00404061">
      <w:r>
        <w:t>c) seznam vstupních podkladů</w:t>
      </w:r>
    </w:p>
    <w:p w14:paraId="7AD2B79E" w14:textId="736AB1C8" w:rsidR="00FF41E2" w:rsidRDefault="00FF41E2" w:rsidP="00404061">
      <w:r>
        <w:t>Katastrální mapa lokality, geodetické zaměření lokality</w:t>
      </w:r>
      <w:r w:rsidR="00C3091F">
        <w:t xml:space="preserve">, </w:t>
      </w:r>
      <w:proofErr w:type="spellStart"/>
      <w:r w:rsidR="00C3091F">
        <w:t>Inženýrsko</w:t>
      </w:r>
      <w:proofErr w:type="spellEnd"/>
      <w:r w:rsidR="00C3091F">
        <w:t xml:space="preserve"> geologický průzkum ( </w:t>
      </w:r>
      <w:r w:rsidR="00C3091F" w:rsidRPr="00C3091F">
        <w:t xml:space="preserve">Mgr. Martin </w:t>
      </w:r>
      <w:proofErr w:type="spellStart"/>
      <w:r w:rsidR="00C3091F" w:rsidRPr="00C3091F">
        <w:t>Štěřík</w:t>
      </w:r>
      <w:proofErr w:type="spellEnd"/>
      <w:r w:rsidR="00C3091F">
        <w:t>, IGP 24 098 )</w:t>
      </w:r>
    </w:p>
    <w:p w14:paraId="463AF4C9" w14:textId="02BF572D" w:rsidR="00404061" w:rsidRDefault="00404061" w:rsidP="00404061">
      <w:r>
        <w:t>d) seznam použitých podkladů pro zpracování, zejména referenční materiály, výčet zohledněných právních předpisů a seznam technických norem, českých technických norem nebo jiných technických dokumentů včetně data jejich vydání</w:t>
      </w:r>
    </w:p>
    <w:p w14:paraId="294AA2E3" w14:textId="28F74DA8" w:rsidR="00D90A8A" w:rsidRDefault="00D90A8A" w:rsidP="00404061">
      <w:r w:rsidRPr="00D90A8A">
        <w:t>ČSN 73 6110 - Projektování místních komunikací</w:t>
      </w:r>
      <w:r>
        <w:t xml:space="preserve"> ( </w:t>
      </w:r>
      <w:r w:rsidRPr="00D90A8A">
        <w:t>01/2006</w:t>
      </w:r>
      <w:r>
        <w:t xml:space="preserve"> )</w:t>
      </w:r>
    </w:p>
    <w:p w14:paraId="6FBEA3E9" w14:textId="4D0D59F4" w:rsidR="00D90A8A" w:rsidRDefault="00D90A8A" w:rsidP="00404061">
      <w:r w:rsidRPr="00D90A8A">
        <w:t>ČSN 73 6201 Projektování mostních objektů</w:t>
      </w:r>
      <w:r>
        <w:t xml:space="preserve">  ( </w:t>
      </w:r>
      <w:r w:rsidRPr="00D90A8A">
        <w:t>10/2008</w:t>
      </w:r>
      <w:r>
        <w:t xml:space="preserve"> )</w:t>
      </w:r>
    </w:p>
    <w:p w14:paraId="4A2C8A9F" w14:textId="74932205" w:rsidR="00D90A8A" w:rsidRDefault="00D90A8A" w:rsidP="00D90A8A">
      <w:r>
        <w:t xml:space="preserve">ČSN 74 3305 Ochranná zábradlí ( </w:t>
      </w:r>
      <w:r w:rsidRPr="00D90A8A">
        <w:t>07/2025</w:t>
      </w:r>
      <w:r>
        <w:t xml:space="preserve"> )</w:t>
      </w:r>
    </w:p>
    <w:p w14:paraId="5ECD8D46" w14:textId="4B8D01BE" w:rsidR="00404061" w:rsidRDefault="00404061" w:rsidP="00404061">
      <w:r>
        <w:t>e) výjimky, odchylná nebo úlevová řešení z norem a předpisů</w:t>
      </w:r>
    </w:p>
    <w:p w14:paraId="45738718" w14:textId="42873DEC" w:rsidR="00D90A8A" w:rsidRDefault="00D90A8A" w:rsidP="00404061">
      <w:r>
        <w:t>Není předmětem projektu</w:t>
      </w:r>
    </w:p>
    <w:p w14:paraId="0EB1907F" w14:textId="58B0E74A" w:rsidR="00404061" w:rsidRDefault="00404061" w:rsidP="00404061">
      <w:r>
        <w:t>f) popis a zdůvodnění navrženého technického řešení a technických parametrů s popisem stávajícího a navrhovaného stavu</w:t>
      </w:r>
    </w:p>
    <w:p w14:paraId="65E54695" w14:textId="71F28E4C" w:rsidR="00D90A8A" w:rsidRDefault="00D90A8A" w:rsidP="00D90A8A">
      <w:pPr>
        <w:spacing w:after="0" w:line="360" w:lineRule="auto"/>
      </w:pPr>
      <w:r>
        <w:t>Stávající stav - terén v místě plánované trasy chodníku je svažitý charakteru násypu. Pata svahu navazuje na podmáčené plochy okolního travnatého mokřadu. Na dvou místech je svah přerušen betonovým tělesem propustků.</w:t>
      </w:r>
    </w:p>
    <w:p w14:paraId="49C4806E" w14:textId="05124517" w:rsidR="00C3091F" w:rsidRDefault="00C3091F" w:rsidP="00D90A8A">
      <w:pPr>
        <w:spacing w:after="0" w:line="360" w:lineRule="auto"/>
      </w:pPr>
      <w:r>
        <w:t>Závěry IGP</w:t>
      </w:r>
    </w:p>
    <w:p w14:paraId="47924968" w14:textId="76E2C71B" w:rsidR="00C3091F" w:rsidRDefault="00C3091F" w:rsidP="00D90A8A">
      <w:pPr>
        <w:spacing w:after="0" w:line="360" w:lineRule="auto"/>
      </w:pPr>
      <w:r>
        <w:lastRenderedPageBreak/>
        <w:t xml:space="preserve">- zemina při povrchu </w:t>
      </w:r>
      <w:r w:rsidR="00CA49FF">
        <w:t>třída F4 až F8, v blízkosti Kosovského potoka zvodnělé, s měkkou konzistencí, hloubka pod terénem 1 – 1,5m</w:t>
      </w:r>
    </w:p>
    <w:p w14:paraId="614608D3" w14:textId="1EC646BB" w:rsidR="00CA49FF" w:rsidRDefault="00CA49FF" w:rsidP="00D90A8A">
      <w:pPr>
        <w:spacing w:after="0" w:line="360" w:lineRule="auto"/>
      </w:pPr>
      <w:r>
        <w:t xml:space="preserve">- pod jemnozrnnými zeminami jílovité štěrky třídy G5 ( GC ) </w:t>
      </w:r>
      <w:proofErr w:type="spellStart"/>
      <w:r>
        <w:t>Rdt</w:t>
      </w:r>
      <w:proofErr w:type="spellEnd"/>
      <w:r>
        <w:t xml:space="preserve">=150kPa , místy písky jílovité třídy S5 ( SC ) </w:t>
      </w:r>
      <w:proofErr w:type="spellStart"/>
      <w:r>
        <w:t>Rdt</w:t>
      </w:r>
      <w:proofErr w:type="spellEnd"/>
      <w:r>
        <w:t>=125kPa</w:t>
      </w:r>
    </w:p>
    <w:p w14:paraId="43E6F6F0" w14:textId="4E817E9D" w:rsidR="00080653" w:rsidRDefault="00080653" w:rsidP="00D90A8A">
      <w:pPr>
        <w:spacing w:after="0" w:line="360" w:lineRule="auto"/>
      </w:pPr>
      <w:r>
        <w:t>- HPV zastižena  0,2 – 0,3 pod terénem</w:t>
      </w:r>
    </w:p>
    <w:p w14:paraId="2A5B3983" w14:textId="77777777" w:rsidR="00D90A8A" w:rsidRDefault="00D90A8A" w:rsidP="00D90A8A">
      <w:pPr>
        <w:spacing w:after="0" w:line="360" w:lineRule="auto"/>
      </w:pPr>
    </w:p>
    <w:p w14:paraId="0C8043A4" w14:textId="52054902" w:rsidR="00D90A8A" w:rsidRDefault="00D90A8A" w:rsidP="00D90A8A">
      <w:pPr>
        <w:spacing w:after="0" w:line="360" w:lineRule="auto"/>
      </w:pPr>
      <w:r>
        <w:t xml:space="preserve">Navrhované řešení </w:t>
      </w:r>
    </w:p>
    <w:p w14:paraId="2767A20A" w14:textId="7E88D760" w:rsidR="00D90A8A" w:rsidRDefault="00D90A8A" w:rsidP="00D90A8A">
      <w:pPr>
        <w:spacing w:after="0" w:line="360" w:lineRule="auto"/>
      </w:pPr>
      <w:r>
        <w:t>1. Opěrná stěna</w:t>
      </w:r>
    </w:p>
    <w:p w14:paraId="31B53E93" w14:textId="38F0810E" w:rsidR="000E3E80" w:rsidRDefault="000E3E80" w:rsidP="00D90A8A">
      <w:pPr>
        <w:spacing w:after="0" w:line="360" w:lineRule="auto"/>
      </w:pPr>
      <w:r>
        <w:t>Výkopy svahované v zemině tř. těžitelnosti 3</w:t>
      </w:r>
    </w:p>
    <w:p w14:paraId="48FA289E" w14:textId="3295A3AF" w:rsidR="00D90A8A" w:rsidRDefault="00D90A8A" w:rsidP="00D90A8A">
      <w:pPr>
        <w:spacing w:after="0" w:line="360" w:lineRule="auto"/>
      </w:pPr>
      <w:r>
        <w:t>Skladba chodníku je ohraničena  liniovou stavbou opěrné stěny z železobetonových prefabrikátů</w:t>
      </w:r>
    </w:p>
    <w:p w14:paraId="3FF50160" w14:textId="6713FF1D" w:rsidR="00D90A8A" w:rsidRDefault="00D90A8A" w:rsidP="00D90A8A">
      <w:pPr>
        <w:spacing w:after="0" w:line="360" w:lineRule="auto"/>
      </w:pPr>
      <w:r>
        <w:t>: materiál beton C 30/37 – XC2,</w:t>
      </w:r>
      <w:r w:rsidR="00416C0A">
        <w:t xml:space="preserve"> XD3,</w:t>
      </w:r>
      <w:r>
        <w:t xml:space="preserve"> X</w:t>
      </w:r>
      <w:r w:rsidR="00080653">
        <w:t>A1</w:t>
      </w:r>
      <w:r>
        <w:t>, XF4 , ocel B500B</w:t>
      </w:r>
      <w:r w:rsidR="00692E1F">
        <w:t>. Pohledový beton na líci</w:t>
      </w:r>
      <w:r w:rsidR="00392BB8">
        <w:t xml:space="preserve"> a koruně</w:t>
      </w:r>
      <w:r w:rsidR="00692E1F">
        <w:t xml:space="preserve"> tř.PB2</w:t>
      </w:r>
    </w:p>
    <w:p w14:paraId="4A886E82" w14:textId="677C6FD3" w:rsidR="00392BB8" w:rsidRDefault="00392BB8" w:rsidP="00D90A8A">
      <w:pPr>
        <w:spacing w:after="0" w:line="360" w:lineRule="auto"/>
      </w:pPr>
      <w:r>
        <w:t xml:space="preserve">: dilatační spáry </w:t>
      </w:r>
      <w:r w:rsidR="0020473F">
        <w:t xml:space="preserve">š.20mm </w:t>
      </w:r>
      <w:r>
        <w:t xml:space="preserve">vyplněny </w:t>
      </w:r>
      <w:r w:rsidR="0020473F">
        <w:t>polyetylenovou dilatační šňůrou + PU tmelem</w:t>
      </w:r>
    </w:p>
    <w:p w14:paraId="3542A0C2" w14:textId="77777777" w:rsidR="00D90A8A" w:rsidRDefault="00D90A8A" w:rsidP="00D90A8A">
      <w:pPr>
        <w:spacing w:after="0" w:line="360" w:lineRule="auto"/>
      </w:pPr>
      <w:r>
        <w:t xml:space="preserve">Vzhledem k podmáčenému podloží a neúnosné zemině bude provedena výměna zeminy pod patou opěrné stěny </w:t>
      </w:r>
    </w:p>
    <w:p w14:paraId="581E06FF" w14:textId="1157BB8F" w:rsidR="00D90A8A" w:rsidRDefault="00D90A8A" w:rsidP="00D90A8A">
      <w:pPr>
        <w:spacing w:after="0" w:line="360" w:lineRule="auto"/>
      </w:pPr>
      <w:r>
        <w:t xml:space="preserve">:  </w:t>
      </w:r>
      <w:r w:rsidR="00670B3F">
        <w:t>chudý beton tl.cca.400mm</w:t>
      </w:r>
      <w:r>
        <w:t xml:space="preserve"> </w:t>
      </w:r>
      <w:r w:rsidR="00670B3F">
        <w:t xml:space="preserve"> pro dosažení únosné zeminy v hloubce cca.1,5m pod terénem</w:t>
      </w:r>
    </w:p>
    <w:p w14:paraId="12FF3A48" w14:textId="71D7077E" w:rsidR="00D90A8A" w:rsidRDefault="00D90A8A" w:rsidP="00D90A8A">
      <w:pPr>
        <w:spacing w:after="0" w:line="360" w:lineRule="auto"/>
      </w:pPr>
      <w:r>
        <w:t xml:space="preserve">Případná voda na rubu zdi bude odvedena drenážními trubkami </w:t>
      </w:r>
      <w:r>
        <w:rPr>
          <w:rFonts w:cstheme="minorHAnsi"/>
        </w:rPr>
        <w:t>ø</w:t>
      </w:r>
      <w:r>
        <w:t>80mm</w:t>
      </w:r>
      <w:r w:rsidR="00983133">
        <w:t xml:space="preserve"> podél celé trasy stěny</w:t>
      </w:r>
    </w:p>
    <w:p w14:paraId="646BA73C" w14:textId="2DF6311A" w:rsidR="00D90A8A" w:rsidRDefault="00D90A8A" w:rsidP="00D90A8A">
      <w:pPr>
        <w:spacing w:after="0" w:line="360" w:lineRule="auto"/>
      </w:pPr>
      <w:r>
        <w:t xml:space="preserve">: </w:t>
      </w:r>
      <w:r w:rsidR="00983133">
        <w:t xml:space="preserve">drenážní vyústění </w:t>
      </w:r>
      <w:r w:rsidR="00983133">
        <w:rPr>
          <w:rFonts w:cstheme="minorHAnsi"/>
        </w:rPr>
        <w:t>ø</w:t>
      </w:r>
      <w:r w:rsidR="00983133">
        <w:t xml:space="preserve">80mm ve stěnách </w:t>
      </w:r>
      <w:r>
        <w:t>součást dodávky prefabrikovaných prvků</w:t>
      </w:r>
    </w:p>
    <w:p w14:paraId="10FB82CA" w14:textId="1CC84C5D" w:rsidR="00D90A8A" w:rsidRDefault="00D90A8A" w:rsidP="00D90A8A">
      <w:pPr>
        <w:spacing w:after="0" w:line="360" w:lineRule="auto"/>
      </w:pPr>
      <w:r>
        <w:t>: na rubu zdi drenážní zásyp</w:t>
      </w:r>
      <w:r w:rsidR="00983133">
        <w:t xml:space="preserve"> fr.8-16mm + obalení geotextílií</w:t>
      </w:r>
    </w:p>
    <w:p w14:paraId="14B1E663" w14:textId="5B6B201F" w:rsidR="00983133" w:rsidRDefault="00983133" w:rsidP="00D90A8A">
      <w:pPr>
        <w:spacing w:after="0" w:line="360" w:lineRule="auto"/>
      </w:pPr>
      <w:r>
        <w:t xml:space="preserve">: pro zamezení průniku vody do základové spáry </w:t>
      </w:r>
      <w:r w:rsidR="00670B3F">
        <w:t xml:space="preserve">z rubové strany </w:t>
      </w:r>
      <w:r>
        <w:t xml:space="preserve">betonáž spádové vrstvy C12/15 </w:t>
      </w:r>
      <w:proofErr w:type="spellStart"/>
      <w:r>
        <w:t>tl</w:t>
      </w:r>
      <w:proofErr w:type="spellEnd"/>
      <w:r>
        <w:t xml:space="preserve">. min.100mm + nepropustná vrstva  zeminy </w:t>
      </w:r>
      <w:proofErr w:type="spellStart"/>
      <w:r>
        <w:t>např.jíl</w:t>
      </w:r>
      <w:proofErr w:type="spellEnd"/>
    </w:p>
    <w:p w14:paraId="4AD97F34" w14:textId="77777777" w:rsidR="0029031C" w:rsidRDefault="0029031C" w:rsidP="00D90A8A">
      <w:pPr>
        <w:spacing w:after="0" w:line="360" w:lineRule="auto"/>
      </w:pPr>
    </w:p>
    <w:p w14:paraId="6AB8BE79" w14:textId="4837D937" w:rsidR="000E3E80" w:rsidRDefault="000E3E80" w:rsidP="00D90A8A">
      <w:pPr>
        <w:spacing w:after="0" w:line="360" w:lineRule="auto"/>
      </w:pPr>
      <w:r>
        <w:t>2. Přemostění propustků</w:t>
      </w:r>
    </w:p>
    <w:p w14:paraId="317A324A" w14:textId="77777777" w:rsidR="000E3E80" w:rsidRDefault="000E3E80" w:rsidP="000E3E80">
      <w:pPr>
        <w:spacing w:after="0" w:line="360" w:lineRule="auto"/>
      </w:pPr>
      <w:r>
        <w:t>: materiál beton C 30/37 – XC2, XD3, XF4 , ocel B500B</w:t>
      </w:r>
    </w:p>
    <w:p w14:paraId="222874E7" w14:textId="6309EB03" w:rsidR="000E3E80" w:rsidRDefault="000E3E80" w:rsidP="000E3E80">
      <w:pPr>
        <w:spacing w:after="0" w:line="360" w:lineRule="auto"/>
      </w:pPr>
      <w:r>
        <w:t xml:space="preserve">: ubourání stávající koruny betonových propustků </w:t>
      </w:r>
      <w:proofErr w:type="spellStart"/>
      <w:r>
        <w:t>tl</w:t>
      </w:r>
      <w:proofErr w:type="spellEnd"/>
      <w:r>
        <w:t>. cca.200 -250mm</w:t>
      </w:r>
    </w:p>
    <w:p w14:paraId="528A1BA6" w14:textId="7F6F6739" w:rsidR="000E3E80" w:rsidRDefault="0029031C" w:rsidP="000E3E80">
      <w:pPr>
        <w:spacing w:after="0" w:line="360" w:lineRule="auto"/>
      </w:pPr>
      <w:r>
        <w:t xml:space="preserve">: železobetonová deska provázaná </w:t>
      </w:r>
      <w:proofErr w:type="spellStart"/>
      <w:r>
        <w:t>chem</w:t>
      </w:r>
      <w:proofErr w:type="spellEnd"/>
      <w:r>
        <w:t>. kotvami ( betonářská výztuž ) s tělesem betonových propustků. V</w:t>
      </w:r>
      <w:r w:rsidR="000E3E80">
        <w:t>rty pro betonářskou výztuž provádět min. 80mm od rubu stěny propustku. Tato vzdálenost či způsob kotvení výztuže chemickou kotvou může být upřesněna dle podmínek po odkrytí skladby komunikace</w:t>
      </w:r>
    </w:p>
    <w:p w14:paraId="18AAF814" w14:textId="5CE199FE" w:rsidR="0029031C" w:rsidRDefault="0029031C" w:rsidP="000E3E80">
      <w:pPr>
        <w:spacing w:after="0" w:line="360" w:lineRule="auto"/>
      </w:pPr>
      <w:r>
        <w:t>: deska přemostění uložena na koncích na těleso opěrné stěny s podbetonováním C 20/25</w:t>
      </w:r>
    </w:p>
    <w:p w14:paraId="2CBB38B3" w14:textId="6DD35903" w:rsidR="0029031C" w:rsidRDefault="0029031C" w:rsidP="000E3E80">
      <w:pPr>
        <w:spacing w:after="0" w:line="360" w:lineRule="auto"/>
      </w:pPr>
      <w:r>
        <w:t>: rub stěny stávajícího propustku bude opatřen hydroizolační cementovou stěrkou na očištěný , nesoudržných částí zbavený povrch</w:t>
      </w:r>
    </w:p>
    <w:p w14:paraId="18201D84" w14:textId="670E876D" w:rsidR="0029031C" w:rsidRDefault="0029031C" w:rsidP="000E3E80">
      <w:pPr>
        <w:spacing w:after="0" w:line="360" w:lineRule="auto"/>
      </w:pPr>
      <w:r>
        <w:t xml:space="preserve">: čelo propustku obloženo kamenným štípaným obkladem </w:t>
      </w:r>
      <w:proofErr w:type="spellStart"/>
      <w:r>
        <w:t>tl</w:t>
      </w:r>
      <w:proofErr w:type="spellEnd"/>
      <w:r>
        <w:t xml:space="preserve">. 10-50mm ( </w:t>
      </w:r>
      <w:r w:rsidR="008175B2">
        <w:t>tlakové čištění povrchu, penetrační nátěr, flexibilní lepidlo, impregnační nátěr )</w:t>
      </w:r>
    </w:p>
    <w:p w14:paraId="2A56C33C" w14:textId="77777777" w:rsidR="008175B2" w:rsidRDefault="008175B2" w:rsidP="000E3E80">
      <w:pPr>
        <w:spacing w:after="0" w:line="360" w:lineRule="auto"/>
      </w:pPr>
    </w:p>
    <w:p w14:paraId="78178044" w14:textId="5F574614" w:rsidR="008175B2" w:rsidRDefault="008175B2" w:rsidP="000E3E80">
      <w:pPr>
        <w:spacing w:after="0" w:line="360" w:lineRule="auto"/>
      </w:pPr>
      <w:r>
        <w:t>3. Zábradlí</w:t>
      </w:r>
    </w:p>
    <w:p w14:paraId="51F9DD6A" w14:textId="7D29BDB9" w:rsidR="008175B2" w:rsidRDefault="008175B2" w:rsidP="000E3E80">
      <w:pPr>
        <w:spacing w:after="0" w:line="360" w:lineRule="auto"/>
      </w:pPr>
      <w:r>
        <w:lastRenderedPageBreak/>
        <w:t>3.1. Zábradlí 1 – opěrná stěna</w:t>
      </w:r>
    </w:p>
    <w:p w14:paraId="5E57A84B" w14:textId="7F5284E2" w:rsidR="008175B2" w:rsidRDefault="008175B2" w:rsidP="000E3E80">
      <w:pPr>
        <w:spacing w:after="0" w:line="360" w:lineRule="auto"/>
      </w:pPr>
      <w:r>
        <w:t>Kovové žárově zinkované zábradlí v kombinaci trubkových sloupků kotvených přes kotevní plechy do opěrné železobetonové stěny a výplně z pásové oceli. Min. výška nad pochozí plochou 1,10m, mezery výplně max.120mm, výška spodní pásnice nad plochou max.120mm</w:t>
      </w:r>
    </w:p>
    <w:p w14:paraId="260463BB" w14:textId="54EBDEE5" w:rsidR="00B27C4B" w:rsidRDefault="00B27C4B" w:rsidP="000E3E80">
      <w:pPr>
        <w:spacing w:after="0" w:line="360" w:lineRule="auto"/>
      </w:pPr>
      <w:r>
        <w:t>Kotvení chemickými kotvami M12(5.8) – 100 návrhová únosnost min.16,2kN v tahu ( 4ks / sloupek )</w:t>
      </w:r>
    </w:p>
    <w:p w14:paraId="46972E6D" w14:textId="77777777" w:rsidR="00B27C4B" w:rsidRDefault="00B27C4B" w:rsidP="000E3E80">
      <w:pPr>
        <w:spacing w:after="0" w:line="360" w:lineRule="auto"/>
      </w:pPr>
    </w:p>
    <w:p w14:paraId="1B8A0077" w14:textId="55E2A2C4" w:rsidR="008175B2" w:rsidRDefault="008175B2" w:rsidP="000E3E80">
      <w:pPr>
        <w:spacing w:after="0" w:line="360" w:lineRule="auto"/>
      </w:pPr>
      <w:r>
        <w:t>3.2. Zábradlí 2 – hranice komunikace</w:t>
      </w:r>
    </w:p>
    <w:p w14:paraId="70CBED7E" w14:textId="139A41ED" w:rsidR="00B27C4B" w:rsidRDefault="00B27C4B" w:rsidP="000E3E80">
      <w:pPr>
        <w:spacing w:after="0" w:line="360" w:lineRule="auto"/>
      </w:pPr>
      <w:r>
        <w:t>Kovové trubkové zinkované zábradlí kotvené do betonových patek</w:t>
      </w:r>
    </w:p>
    <w:p w14:paraId="67894CFB" w14:textId="6608D7E4" w:rsidR="00B27C4B" w:rsidRDefault="00B27C4B" w:rsidP="000E3E80">
      <w:pPr>
        <w:spacing w:after="0" w:line="360" w:lineRule="auto"/>
      </w:pPr>
      <w:r>
        <w:t>Profily sloupků TR 54x5.6, trubkový rám a tyčová výplň TR 54x3.2</w:t>
      </w:r>
    </w:p>
    <w:p w14:paraId="076F7BE5" w14:textId="0BDACC4B" w:rsidR="00B27C4B" w:rsidRDefault="00B27C4B" w:rsidP="000E3E80">
      <w:pPr>
        <w:spacing w:after="0" w:line="360" w:lineRule="auto"/>
      </w:pPr>
      <w:r>
        <w:t xml:space="preserve">Patky betonáž C 20/25 do </w:t>
      </w:r>
      <w:proofErr w:type="spellStart"/>
      <w:r>
        <w:t>korugovaného</w:t>
      </w:r>
      <w:proofErr w:type="spellEnd"/>
      <w:r>
        <w:t xml:space="preserve"> potrubí DN250 – 600mm</w:t>
      </w:r>
    </w:p>
    <w:p w14:paraId="1AED4BB6" w14:textId="27D1BB11" w:rsidR="00D90A8A" w:rsidRDefault="00D90A8A" w:rsidP="00404061"/>
    <w:p w14:paraId="4D01185A" w14:textId="6076CEDD" w:rsidR="00404061" w:rsidRDefault="00404061" w:rsidP="00404061">
      <w:r>
        <w:t>g) návaznost na ostatní objekty, související stavby</w:t>
      </w:r>
    </w:p>
    <w:p w14:paraId="773F61C3" w14:textId="3390BDE8" w:rsidR="00392BB8" w:rsidRDefault="00392BB8" w:rsidP="00404061">
      <w:r>
        <w:t>Stavba prováděna současně s realizací chodníku Skláře</w:t>
      </w:r>
    </w:p>
    <w:p w14:paraId="3E1001B9" w14:textId="52D24459" w:rsidR="00404061" w:rsidRDefault="00404061" w:rsidP="00404061">
      <w:r>
        <w:t>h) stavebně montážní postupy výstavby</w:t>
      </w:r>
    </w:p>
    <w:p w14:paraId="5663F942" w14:textId="36DE98B8" w:rsidR="00392BB8" w:rsidRDefault="00392BB8" w:rsidP="00404061">
      <w:r>
        <w:t>Opěrná stěna navržena z prefabrikovaných dílců a sestavována pomocí jeřábu na stavbě</w:t>
      </w:r>
    </w:p>
    <w:p w14:paraId="071EE58F" w14:textId="77777777" w:rsidR="00404061" w:rsidRDefault="00404061" w:rsidP="00404061">
      <w:r>
        <w:t>i) posouzení návrhu technického řešení,</w:t>
      </w:r>
    </w:p>
    <w:p w14:paraId="47596023" w14:textId="77777777" w:rsidR="00404061" w:rsidRDefault="00404061" w:rsidP="00404061">
      <w:r>
        <w:t>j) vazba na předchozí dokumentace,</w:t>
      </w:r>
    </w:p>
    <w:p w14:paraId="4AC9F99A" w14:textId="77777777" w:rsidR="00404061" w:rsidRDefault="00404061" w:rsidP="00404061">
      <w:r>
        <w:t>k) harmonogram provádění stavebních prací na objektu,</w:t>
      </w:r>
    </w:p>
    <w:p w14:paraId="41796F73" w14:textId="700CFB22" w:rsidR="00404061" w:rsidRDefault="00404061" w:rsidP="00404061">
      <w:r>
        <w:t>l) požadavky a podmínky pro realizaci objektu mající vliv na technické řešení a jeho funkci</w:t>
      </w:r>
    </w:p>
    <w:p w14:paraId="717D8A18" w14:textId="3EBA240D" w:rsidR="00D83AAE" w:rsidRDefault="00D83AAE" w:rsidP="00404061">
      <w:pPr>
        <w:rPr>
          <w:color w:val="EE0000"/>
        </w:rPr>
      </w:pPr>
      <w:r>
        <w:t xml:space="preserve">Přítomnost povrchové vody při realizaci opěrné stěny  - </w:t>
      </w:r>
      <w:r>
        <w:rPr>
          <w:color w:val="EE0000"/>
        </w:rPr>
        <w:t>o</w:t>
      </w:r>
      <w:r w:rsidRPr="00D83AAE">
        <w:rPr>
          <w:color w:val="EE0000"/>
        </w:rPr>
        <w:t>dvodnění otevřených stavebních jam se provád</w:t>
      </w:r>
      <w:r w:rsidR="00A0428F">
        <w:rPr>
          <w:color w:val="EE0000"/>
        </w:rPr>
        <w:t>í</w:t>
      </w:r>
      <w:r w:rsidR="00670B3F">
        <w:rPr>
          <w:color w:val="EE0000"/>
        </w:rPr>
        <w:t xml:space="preserve"> </w:t>
      </w:r>
      <w:r w:rsidRPr="00D83AAE">
        <w:rPr>
          <w:color w:val="EE0000"/>
        </w:rPr>
        <w:t>z vrtů k tomuto účelu vybudovaných okolo stavební jámy ve směru proudění podzemní vody.</w:t>
      </w:r>
    </w:p>
    <w:p w14:paraId="2441CA22" w14:textId="577A8490" w:rsidR="00670B3F" w:rsidRDefault="00670B3F" w:rsidP="00404061">
      <w:pPr>
        <w:rPr>
          <w:color w:val="EE0000"/>
        </w:rPr>
      </w:pPr>
      <w:r>
        <w:rPr>
          <w:color w:val="EE0000"/>
        </w:rPr>
        <w:t>V místě Kosovského potoka předpoklad jílovitých zemin měkké konzistence – pažení stavební jámy štětovnicemi v délce cca.30m.</w:t>
      </w:r>
    </w:p>
    <w:p w14:paraId="056BC029" w14:textId="734D8F04" w:rsidR="00B971C6" w:rsidRDefault="00B971C6" w:rsidP="00404061">
      <w:pPr>
        <w:rPr>
          <w:color w:val="EE0000"/>
        </w:rPr>
      </w:pPr>
      <w:r>
        <w:rPr>
          <w:color w:val="EE0000"/>
        </w:rPr>
        <w:t>Vzhledem ke složitým základovým podmínkám z hlediska rozdílné mocnosti a úrovně neúnosných vrstev zeminy je třeba předpokládat změny v kubatuře výměny těchto vrstev, výkopů a chudého betonu.</w:t>
      </w:r>
    </w:p>
    <w:p w14:paraId="6F75B881" w14:textId="7E47359B" w:rsidR="00B971C6" w:rsidRDefault="00B971C6" w:rsidP="00404061">
      <w:r>
        <w:rPr>
          <w:color w:val="EE0000"/>
        </w:rPr>
        <w:t>Na stavbě dle konkrétních podmínek hladiny podzemní vody bude určen rozsah pažení stavební jámy , který je zatím předpokládán v místě okolí Kosovského potoka.</w:t>
      </w:r>
    </w:p>
    <w:p w14:paraId="6AB554D5" w14:textId="3D9E673A" w:rsidR="00404061" w:rsidRDefault="00404061" w:rsidP="00404061">
      <w:r>
        <w:t>m) popis navrženého řešení ve vztahu k péči o životní prostředí a ve vztahu k</w:t>
      </w:r>
      <w:r w:rsidR="00D83AAE">
        <w:t> </w:t>
      </w:r>
      <w:r>
        <w:t>užívání</w:t>
      </w:r>
    </w:p>
    <w:p w14:paraId="41C8900B" w14:textId="36696BAB" w:rsidR="00D83AAE" w:rsidRPr="00D83AAE" w:rsidRDefault="00D83AAE" w:rsidP="00404061">
      <w:pPr>
        <w:rPr>
          <w:color w:val="EE0000"/>
        </w:rPr>
      </w:pPr>
      <w:r w:rsidRPr="00D83AAE">
        <w:rPr>
          <w:color w:val="EE0000"/>
        </w:rPr>
        <w:t>XXXXXXXXXX</w:t>
      </w:r>
    </w:p>
    <w:p w14:paraId="49846936" w14:textId="74783BE4" w:rsidR="00404061" w:rsidRDefault="00404061" w:rsidP="00404061">
      <w:r>
        <w:t>n) požadavky na bezpečnost a ochranu zdraví při práci ve stádiu realizace</w:t>
      </w:r>
    </w:p>
    <w:p w14:paraId="367F56F8" w14:textId="5B4F8D26" w:rsidR="00D83AAE" w:rsidRDefault="00D83AAE" w:rsidP="00404061">
      <w:r w:rsidRPr="00D83AAE">
        <w:rPr>
          <w:color w:val="EE0000"/>
        </w:rPr>
        <w:t>XXXXX</w:t>
      </w:r>
    </w:p>
    <w:p w14:paraId="77C523CA" w14:textId="15E6C120" w:rsidR="00404061" w:rsidRDefault="00404061" w:rsidP="00404061">
      <w:r>
        <w:t>o) požadavky na měření posunů a přetvoření stavebních objektů</w:t>
      </w:r>
    </w:p>
    <w:p w14:paraId="18605291" w14:textId="0271B211" w:rsidR="00D83AAE" w:rsidRDefault="00D83AAE" w:rsidP="00404061">
      <w:r w:rsidRPr="00D83AAE">
        <w:rPr>
          <w:color w:val="EE0000"/>
        </w:rPr>
        <w:t>XXXXX</w:t>
      </w:r>
    </w:p>
    <w:p w14:paraId="6C071E9B" w14:textId="5EC8E527" w:rsidR="00B317F3" w:rsidRDefault="00404061" w:rsidP="00404061">
      <w:r>
        <w:lastRenderedPageBreak/>
        <w:t>p) požadavky na řešení přístupnosti</w:t>
      </w:r>
    </w:p>
    <w:p w14:paraId="4CD8EFFE" w14:textId="77777777" w:rsidR="00D83AAE" w:rsidRDefault="00D83AAE" w:rsidP="00D83AAE">
      <w:r w:rsidRPr="00D83AAE">
        <w:rPr>
          <w:color w:val="EE0000"/>
        </w:rPr>
        <w:t>XXXXX</w:t>
      </w:r>
    </w:p>
    <w:p w14:paraId="542C918F" w14:textId="77777777" w:rsidR="00D83AAE" w:rsidRDefault="00D83AAE" w:rsidP="00404061"/>
    <w:sectPr w:rsidR="00D83AAE" w:rsidSect="0014731D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8E82B" w14:textId="77777777" w:rsidR="0014731D" w:rsidRDefault="0014731D" w:rsidP="0014731D">
      <w:pPr>
        <w:spacing w:after="0" w:line="240" w:lineRule="auto"/>
      </w:pPr>
      <w:r>
        <w:separator/>
      </w:r>
    </w:p>
  </w:endnote>
  <w:endnote w:type="continuationSeparator" w:id="0">
    <w:p w14:paraId="79DACCF0" w14:textId="77777777" w:rsidR="0014731D" w:rsidRDefault="0014731D" w:rsidP="0014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BD155" w14:textId="77777777" w:rsidR="0014731D" w:rsidRDefault="0014731D" w:rsidP="0014731D">
      <w:pPr>
        <w:spacing w:after="0" w:line="240" w:lineRule="auto"/>
      </w:pPr>
      <w:r>
        <w:separator/>
      </w:r>
    </w:p>
  </w:footnote>
  <w:footnote w:type="continuationSeparator" w:id="0">
    <w:p w14:paraId="374EF5F0" w14:textId="77777777" w:rsidR="0014731D" w:rsidRDefault="0014731D" w:rsidP="00147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BB7A3" w14:textId="75F36D61" w:rsidR="0014731D" w:rsidRDefault="0014731D" w:rsidP="0014731D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027BD3D5" w14:textId="77777777" w:rsidR="0014731D" w:rsidRDefault="001473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061"/>
    <w:rsid w:val="00080653"/>
    <w:rsid w:val="000C3DFB"/>
    <w:rsid w:val="000E3E80"/>
    <w:rsid w:val="0014731D"/>
    <w:rsid w:val="0020473F"/>
    <w:rsid w:val="00273069"/>
    <w:rsid w:val="0029031C"/>
    <w:rsid w:val="00382055"/>
    <w:rsid w:val="00392BB8"/>
    <w:rsid w:val="00404061"/>
    <w:rsid w:val="00416C0A"/>
    <w:rsid w:val="005009AE"/>
    <w:rsid w:val="00670B3F"/>
    <w:rsid w:val="00692E1F"/>
    <w:rsid w:val="008175B2"/>
    <w:rsid w:val="00983133"/>
    <w:rsid w:val="00A0428F"/>
    <w:rsid w:val="00AB0904"/>
    <w:rsid w:val="00B21609"/>
    <w:rsid w:val="00B27C4B"/>
    <w:rsid w:val="00B317F3"/>
    <w:rsid w:val="00B74D67"/>
    <w:rsid w:val="00B971C6"/>
    <w:rsid w:val="00C3091F"/>
    <w:rsid w:val="00CA49FF"/>
    <w:rsid w:val="00D83AAE"/>
    <w:rsid w:val="00D90A8A"/>
    <w:rsid w:val="00F2047E"/>
    <w:rsid w:val="00F822FF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AC396"/>
  <w15:chartTrackingRefBased/>
  <w15:docId w15:val="{D70DD50B-137D-4153-8E81-2A8840086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040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040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0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40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040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040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040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040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040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040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040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040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0406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0406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0406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0406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0406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0406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040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40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40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040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040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0406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0406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0406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40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406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04061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D90A8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0A8A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4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31D"/>
  </w:style>
  <w:style w:type="paragraph" w:styleId="Zpat">
    <w:name w:val="footer"/>
    <w:basedOn w:val="Normln"/>
    <w:link w:val="ZpatChar"/>
    <w:uiPriority w:val="99"/>
    <w:unhideWhenUsed/>
    <w:rsid w:val="00147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5</Pages>
  <Words>823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Věroslav Vopat</dc:creator>
  <cp:keywords/>
  <dc:description/>
  <cp:lastModifiedBy>Věroslav Vopat</cp:lastModifiedBy>
  <cp:revision>16</cp:revision>
  <dcterms:created xsi:type="dcterms:W3CDTF">2025-09-23T15:08:00Z</dcterms:created>
  <dcterms:modified xsi:type="dcterms:W3CDTF">2025-09-25T06:01:00Z</dcterms:modified>
</cp:coreProperties>
</file>